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4A" w:rsidRDefault="00DB5169" w:rsidP="0066674A">
      <w:pPr>
        <w:widowControl/>
        <w:shd w:val="clear" w:color="auto" w:fill="FFFFFF"/>
        <w:spacing w:before="360" w:line="720" w:lineRule="atLeast"/>
        <w:jc w:val="center"/>
        <w:outlineLvl w:val="2"/>
        <w:rPr>
          <w:rFonts w:ascii="黑体" w:eastAsia="黑体" w:hAnsi="黑体" w:cs="宋体"/>
          <w:color w:val="034881"/>
          <w:kern w:val="0"/>
          <w:sz w:val="36"/>
          <w:szCs w:val="36"/>
        </w:rPr>
      </w:pPr>
      <w:bookmarkStart w:id="0" w:name="_GoBack"/>
      <w:bookmarkEnd w:id="0"/>
      <w:r w:rsidRPr="00DB5169">
        <w:rPr>
          <w:rFonts w:ascii="黑体" w:eastAsia="黑体" w:hAnsi="黑体" w:cs="宋体" w:hint="eastAsia"/>
          <w:color w:val="034881"/>
          <w:kern w:val="0"/>
          <w:sz w:val="36"/>
          <w:szCs w:val="36"/>
        </w:rPr>
        <w:t>湖南省人民政府关于推动创新创业高质量发展</w:t>
      </w:r>
    </w:p>
    <w:p w:rsidR="00DB5169" w:rsidRPr="00DB5169" w:rsidRDefault="00DB5169" w:rsidP="0066674A">
      <w:pPr>
        <w:widowControl/>
        <w:shd w:val="clear" w:color="auto" w:fill="FFFFFF"/>
        <w:spacing w:line="720" w:lineRule="atLeast"/>
        <w:jc w:val="center"/>
        <w:outlineLvl w:val="2"/>
        <w:rPr>
          <w:rFonts w:ascii="黑体" w:eastAsia="黑体" w:hAnsi="黑体" w:cs="宋体"/>
          <w:color w:val="034881"/>
          <w:kern w:val="0"/>
          <w:sz w:val="36"/>
          <w:szCs w:val="36"/>
        </w:rPr>
      </w:pPr>
      <w:r w:rsidRPr="00DB5169">
        <w:rPr>
          <w:rFonts w:ascii="黑体" w:eastAsia="黑体" w:hAnsi="黑体" w:cs="宋体" w:hint="eastAsia"/>
          <w:color w:val="034881"/>
          <w:kern w:val="0"/>
          <w:sz w:val="36"/>
          <w:szCs w:val="36"/>
        </w:rPr>
        <w:t>打造“双创”升级版的实施意见</w:t>
      </w:r>
    </w:p>
    <w:p w:rsidR="00DB5169" w:rsidRPr="00DB5169" w:rsidRDefault="00C268F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Pr>
          <w:rFonts w:ascii="宋体" w:eastAsia="宋体" w:hAnsi="宋体" w:cs="宋体"/>
          <w:noProof/>
          <w:color w:val="000000"/>
          <w:kern w:val="0"/>
          <w:sz w:val="15"/>
          <w:szCs w:val="15"/>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Play</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Fullscreen</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0:00</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0:00</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-0:00</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Loaded: 0%</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Progress: 0%</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00:00</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Mute</w:t>
      </w:r>
    </w:p>
    <w:p w:rsidR="00DB5169" w:rsidRPr="00DB5169" w:rsidRDefault="00DB5169" w:rsidP="00DB5169">
      <w:pPr>
        <w:widowControl/>
        <w:shd w:val="clear" w:color="auto" w:fill="000000"/>
        <w:spacing w:before="240" w:after="240"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Subtitles</w:t>
      </w:r>
    </w:p>
    <w:p w:rsidR="00DB5169" w:rsidRPr="00DB5169" w:rsidRDefault="00DB5169" w:rsidP="00DB5169">
      <w:pPr>
        <w:widowControl/>
        <w:numPr>
          <w:ilvl w:val="0"/>
          <w:numId w:val="1"/>
        </w:numPr>
        <w:shd w:val="clear" w:color="auto" w:fill="000000"/>
        <w:spacing w:before="100" w:beforeAutospacing="1" w:after="100" w:afterAutospacing="1" w:line="480" w:lineRule="atLeast"/>
        <w:ind w:left="2520"/>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Subtitles</w:t>
      </w:r>
    </w:p>
    <w:p w:rsidR="00DB5169" w:rsidRPr="00DB5169" w:rsidRDefault="00DB5169" w:rsidP="00DB5169">
      <w:pPr>
        <w:widowControl/>
        <w:numPr>
          <w:ilvl w:val="0"/>
          <w:numId w:val="1"/>
        </w:numPr>
        <w:shd w:val="clear" w:color="auto" w:fill="000000"/>
        <w:spacing w:before="100" w:beforeAutospacing="1" w:after="100" w:afterAutospacing="1" w:line="480" w:lineRule="atLeast"/>
        <w:ind w:left="2520"/>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Off</w:t>
      </w:r>
    </w:p>
    <w:p w:rsidR="00DB5169" w:rsidRPr="00DB5169" w:rsidRDefault="00DB5169" w:rsidP="00DB5169">
      <w:pPr>
        <w:widowControl/>
        <w:shd w:val="clear" w:color="auto" w:fill="000000"/>
        <w:spacing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Captions</w:t>
      </w:r>
    </w:p>
    <w:p w:rsidR="00DB5169" w:rsidRPr="00DB5169" w:rsidRDefault="00DB5169" w:rsidP="00DB5169">
      <w:pPr>
        <w:widowControl/>
        <w:numPr>
          <w:ilvl w:val="0"/>
          <w:numId w:val="2"/>
        </w:numPr>
        <w:shd w:val="clear" w:color="auto" w:fill="000000"/>
        <w:spacing w:before="100" w:beforeAutospacing="1" w:after="100" w:afterAutospacing="1" w:line="480" w:lineRule="atLeast"/>
        <w:ind w:left="2520"/>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Captions</w:t>
      </w:r>
    </w:p>
    <w:p w:rsidR="00DB5169" w:rsidRPr="00DB5169" w:rsidRDefault="00DB5169" w:rsidP="00DB5169">
      <w:pPr>
        <w:widowControl/>
        <w:numPr>
          <w:ilvl w:val="0"/>
          <w:numId w:val="2"/>
        </w:numPr>
        <w:shd w:val="clear" w:color="auto" w:fill="000000"/>
        <w:spacing w:before="100" w:beforeAutospacing="1" w:after="100" w:afterAutospacing="1" w:line="480" w:lineRule="atLeast"/>
        <w:ind w:left="2520"/>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Off</w:t>
      </w:r>
    </w:p>
    <w:p w:rsidR="00DB5169" w:rsidRPr="00DB5169" w:rsidRDefault="00DB5169" w:rsidP="00DB5169">
      <w:pPr>
        <w:widowControl/>
        <w:shd w:val="clear" w:color="auto" w:fill="000000"/>
        <w:spacing w:line="480" w:lineRule="atLeast"/>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rPr>
        <w:t>Chapters</w:t>
      </w:r>
    </w:p>
    <w:p w:rsidR="00DB5169" w:rsidRPr="00DB5169" w:rsidRDefault="00DB5169" w:rsidP="00DB5169">
      <w:pPr>
        <w:widowControl/>
        <w:numPr>
          <w:ilvl w:val="0"/>
          <w:numId w:val="3"/>
        </w:numPr>
        <w:shd w:val="clear" w:color="auto" w:fill="000000"/>
        <w:spacing w:before="100" w:beforeAutospacing="1" w:after="100" w:afterAutospacing="1" w:line="480" w:lineRule="atLeast"/>
        <w:ind w:left="2520"/>
        <w:jc w:val="left"/>
        <w:textAlignment w:val="center"/>
        <w:rPr>
          <w:rFonts w:ascii="宋体" w:eastAsia="宋体" w:hAnsi="宋体" w:cs="宋体"/>
          <w:vanish/>
          <w:color w:val="000000"/>
          <w:kern w:val="0"/>
          <w:sz w:val="15"/>
          <w:szCs w:val="15"/>
        </w:rPr>
      </w:pPr>
      <w:r w:rsidRPr="00DB5169">
        <w:rPr>
          <w:rFonts w:ascii="宋体" w:eastAsia="宋体" w:hAnsi="宋体" w:cs="宋体" w:hint="eastAsia"/>
          <w:vanish/>
          <w:color w:val="000000"/>
          <w:kern w:val="0"/>
          <w:sz w:val="15"/>
          <w:szCs w:val="15"/>
        </w:rPr>
        <w:t>Chapters</w:t>
      </w:r>
    </w:p>
    <w:p w:rsidR="00DB5169" w:rsidRPr="00DB5169" w:rsidRDefault="00DB5169" w:rsidP="00DB5169">
      <w:pPr>
        <w:widowControl/>
        <w:shd w:val="clear" w:color="auto" w:fill="FFFFFF"/>
        <w:spacing w:before="100" w:beforeAutospacing="1" w:after="100" w:afterAutospacing="1" w:line="540" w:lineRule="atLeast"/>
        <w:jc w:val="center"/>
        <w:rPr>
          <w:rFonts w:ascii="宋体" w:eastAsia="宋体" w:hAnsi="宋体" w:cs="宋体"/>
          <w:color w:val="000000"/>
          <w:kern w:val="0"/>
          <w:sz w:val="24"/>
          <w:szCs w:val="24"/>
        </w:rPr>
      </w:pPr>
      <w:r w:rsidRPr="00DB5169">
        <w:rPr>
          <w:rFonts w:ascii="宋体" w:eastAsia="宋体" w:hAnsi="宋体" w:cs="宋体" w:hint="eastAsia"/>
          <w:b/>
          <w:bCs/>
          <w:color w:val="000000"/>
          <w:kern w:val="0"/>
          <w:sz w:val="24"/>
          <w:szCs w:val="24"/>
        </w:rPr>
        <w:t>湘政发〔2019〕13号</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各市州人民政府，省政府各厅委、各直属机构：</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为深入实施创新驱动发展战略，进一步激发市场活力和社会创造力，根据《国务院关于推动创新创业高质量发展打造“双创”升级版的意见》（国发〔2018〕32号）精神，提出如下实施意见。</w:t>
      </w:r>
    </w:p>
    <w:p w:rsidR="00DB5169" w:rsidRPr="00DB5169" w:rsidRDefault="00DB5169" w:rsidP="00C268F9">
      <w:pPr>
        <w:widowControl/>
        <w:shd w:val="clear" w:color="auto" w:fill="FFFFFF"/>
        <w:spacing w:beforeLines="50" w:before="156" w:afterLines="50" w:after="156" w:line="540" w:lineRule="atLeast"/>
        <w:jc w:val="left"/>
        <w:rPr>
          <w:rFonts w:ascii="宋体" w:eastAsia="宋体" w:hAnsi="宋体" w:cs="宋体"/>
          <w:b/>
          <w:bCs/>
          <w:color w:val="000000"/>
          <w:kern w:val="0"/>
          <w:sz w:val="24"/>
          <w:szCs w:val="24"/>
        </w:rPr>
      </w:pPr>
      <w:r w:rsidRPr="00DB5169">
        <w:rPr>
          <w:rFonts w:ascii="宋体" w:eastAsia="宋体" w:hAnsi="宋体" w:cs="宋体" w:hint="eastAsia"/>
          <w:b/>
          <w:bCs/>
          <w:color w:val="000000"/>
          <w:kern w:val="0"/>
          <w:sz w:val="24"/>
          <w:szCs w:val="24"/>
        </w:rPr>
        <w:t xml:space="preserve">　　一、促进创新创业环境升级</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一）简政放权释放创新创业活力。全面实施市场准入负面清单制度，最大化赋予市场主体主动权。进一步压缩企业开办时间，重点推进“证照分离”、“照后减证”，统筹推进“多证合一”、“证照联办”改革，全面推进市场主体全程电子化、电子营业执照改革，简化企业从设立到具备一般性经营条件的办理环节。推进市场主体简易注销改革，简化优化注销业务流程。（省市场监管局、省公安厅、省税务局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二）创新方式优化市场监管。坚持对新兴产业实施包容审慎监管，量身定制包容审慎监管模式和标准规范。建立完善对“互联网+教育”、“互联网+医疗”等新业态、新模式的高效监管机制，严守安全质量和社会稳定底线。引导和规范共享经济良性健康发展，推动共享经济平台企业切实履行主体责任。（省市场监管局、省教育厅、省卫生健康委、省工业和信息化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三）深化“互联网+政务服务”便利创新创业。加快完善全省“互联网+政务服务”一体化平台，推动各级实体大厅与网上政务服务平台融合发展，实现各级各类审批服务事项“一点登录、一号认证、一网通办”。深入推进“一件事</w:t>
      </w:r>
      <w:r w:rsidRPr="00DB5169">
        <w:rPr>
          <w:rFonts w:ascii="宋体" w:eastAsia="宋体" w:hAnsi="宋体" w:cs="宋体" w:hint="eastAsia"/>
          <w:color w:val="000000"/>
          <w:kern w:val="0"/>
          <w:sz w:val="24"/>
          <w:szCs w:val="24"/>
        </w:rPr>
        <w:lastRenderedPageBreak/>
        <w:t>一次办”改革。发布并完善全省行政权力通用目录。完善适应新就业形态的用工和社会保险制度，加快建设“网上社保”。（省政务局、省政府发展研究中心、省发展改革委、省人力资源社会保障厅等按职责分工负责）</w:t>
      </w:r>
    </w:p>
    <w:p w:rsidR="00DB5169" w:rsidRPr="00DB5169" w:rsidRDefault="00DB5169" w:rsidP="00C268F9">
      <w:pPr>
        <w:widowControl/>
        <w:shd w:val="clear" w:color="auto" w:fill="FFFFFF"/>
        <w:spacing w:beforeLines="50" w:before="156" w:afterLines="50" w:after="156" w:line="540" w:lineRule="atLeast"/>
        <w:jc w:val="left"/>
        <w:rPr>
          <w:rFonts w:ascii="宋体" w:eastAsia="宋体" w:hAnsi="宋体" w:cs="宋体"/>
          <w:b/>
          <w:bCs/>
          <w:color w:val="000000"/>
          <w:kern w:val="0"/>
          <w:sz w:val="24"/>
          <w:szCs w:val="24"/>
        </w:rPr>
      </w:pPr>
      <w:r w:rsidRPr="00DB5169">
        <w:rPr>
          <w:rFonts w:ascii="宋体" w:eastAsia="宋体" w:hAnsi="宋体" w:cs="宋体" w:hint="eastAsia"/>
          <w:b/>
          <w:bCs/>
          <w:color w:val="000000"/>
          <w:kern w:val="0"/>
          <w:sz w:val="24"/>
          <w:szCs w:val="24"/>
        </w:rPr>
        <w:t xml:space="preserve">　　二、推动创新创业动力升级</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四）加大财税政策支持力度。落实省级以上科技企业孵化器、大学科技园、众创空间享受的免征房产税、增值税等优惠政策。落实企业研发费用税前加计扣除税收优惠政策，建立企业研发投入后补助机制。对个人转让新三板非原始股取得的所得，暂免征收个人所得税。加大对重大创新产品和服务、核心关键技术的采购力度，扩大首购、订购等非招标方式的应用。(省科技厅、省财政厅、省税务局、省统计局、省工业和信息化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五）深化知识产权领域改革。建立重大经济活动知识产权评议和以知识产权为重要内容的创新驱动发展评价体系。加大知识产权普法力度，建立政府知识产权法律顾问制度，探索建立海外知识产权维权援助平台。构建便民利民的知识产权服务网络，推进专利分析评议、专利预警、专利导航产业发展，建立多元化知识产权投融资机制，推进知识产权资本化。（省知识产权局、省市场监管局、省司法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六）健全科技成果转化体制机制。在全省范围内推广科技成果使用权、处置权和收益权改革，辐射带动全省科技成果转移转化。建立统一开放的技术市场体系，加快建设潇湘科技要素市场体系，在有条件的市州设立潇湘科技要素市场分市场，并按照运营绩效给予后补助支持。对通过潇湘科技要素市场等科技成果转化交易服务网络体系开展的科技成果转化活动，以政府购买服务、奖励性后补助等方式予以支持。（省科技厅、省财政厅、相关市州人民政府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（七）大力培育发展新兴产业。促进先进制造产业与颠覆性技术深度融合。建立网络安全和信息化领域军民深度融合发展机制，扶持优势产业发展，支持关</w:t>
      </w:r>
      <w:r w:rsidRPr="00DB5169">
        <w:rPr>
          <w:rFonts w:ascii="宋体" w:eastAsia="宋体" w:hAnsi="宋体" w:cs="宋体" w:hint="eastAsia"/>
          <w:color w:val="000000"/>
          <w:kern w:val="0"/>
          <w:sz w:val="24"/>
          <w:szCs w:val="24"/>
        </w:rPr>
        <w:lastRenderedPageBreak/>
        <w:t>键核心技术研发和科研成果转移转化，推进核心信息技术及产业协同发展。促进现代服务业与先进制造业深度融合，建设一批生产性服务业公共服务平台和生产性服务业集聚区。培育建设20条新兴优势产业链，打造一批具有国际国内竞争力的创新型产业集群。（省工业和信息化厅、省科技厅、省委网信办、省发展改革委、省农业农村厅等按职责分工负责）</w:t>
      </w:r>
    </w:p>
    <w:p w:rsidR="00DB5169" w:rsidRPr="00DB5169" w:rsidRDefault="00DB5169" w:rsidP="00C268F9">
      <w:pPr>
        <w:widowControl/>
        <w:shd w:val="clear" w:color="auto" w:fill="FFFFFF"/>
        <w:spacing w:beforeLines="50" w:before="156" w:afterLines="50" w:after="156" w:line="540" w:lineRule="atLeast"/>
        <w:jc w:val="left"/>
        <w:rPr>
          <w:rFonts w:ascii="宋体" w:eastAsia="宋体" w:hAnsi="宋体" w:cs="宋体"/>
          <w:b/>
          <w:bCs/>
          <w:color w:val="000000"/>
          <w:kern w:val="0"/>
          <w:sz w:val="24"/>
          <w:szCs w:val="24"/>
        </w:rPr>
      </w:pPr>
      <w:r w:rsidRPr="00DB5169">
        <w:rPr>
          <w:rFonts w:ascii="宋体" w:eastAsia="宋体" w:hAnsi="宋体" w:cs="宋体" w:hint="eastAsia"/>
          <w:b/>
          <w:bCs/>
          <w:color w:val="000000"/>
          <w:kern w:val="0"/>
          <w:sz w:val="24"/>
          <w:szCs w:val="24"/>
        </w:rPr>
        <w:t xml:space="preserve">　　三、推动创新创业主体升级</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八）加大科研人员科技创业激励力度。支持高校、院所科研人员依规兼职兼薪或离岗创业，完善各类人才在机关、企业、事业单位之间流动时的社保关系转移接续政策。加大博士后科研人员留湘创新创业支持力度。对高校、科研院所等事业单位急需紧缺的高层次人才采取特设岗位方式引进。深化科技人才评价改革，科学设立人才评价指标，进一步细化科技人才培养、服务、跟踪、奖惩等制度。（省人力资源社会保障厅、省科技厅、省教育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九）支持大学生创新创业。推广网络创业培训和创业模拟实训项目，鼓励有条件的高校将其纳入学分管理。完善高校和技工院校创新创业教育和实践课程体系并纳入必修课，组织开展“互联网+”大学生创新创业大赛，实施在校大学生创新创业训练计划。允许大学生按照学校有关规定，用创新创业成果申请学位论文答辩。鼓励企业向职业学校、高等学校提供仪器设备和技术支持，共建生产性实训基地。（省人力资源社会保障厅、省教育厅、省发展改革委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支持农民工返乡创业。深入推进农民工返乡创业试点工作，对获得认定的国家农民工返乡创业试点（示范）县给予资金补助。农民工等返乡下乡创业人员首次创办小微企业或从事个体经营，自工商登记注册之日起，正常运营6个月以上的，给予一次性创业补贴。扩大创业担保贷款对象，农村自主创业的农民可纳入支持范围。（省农业农村厅、省人力资源社会保障厅、省发展改革委、省财政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lastRenderedPageBreak/>
        <w:t xml:space="preserve">　　（十一）支持退役军人创新创业。落实军队退役人员相关优惠政策，鼓励各地对选择在湘、来湘创新创业的军队退役科技人才分类、分层次予以奖励补贴、科研启动金等激励支持。支持退役军人参加创新创业大会和比赛。鼓励有条件的高校、职业院校（含技工院校）面向退役军人开展创业意识教育、创业素质培养、创业项目指导、企业经营管理等培训。（省退役军人厅、省教育厅、省人力资源社会保障厅、省科技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二）大力引进海外高层次人才。深入实施“百人计划”、“湖南高层次人才聚集工程”。建立高端外国专家来湘工作激励和补贴机制，择优支持留学回国人员创新创业项目。发挥湘籍海外人才优势，加强与华裔人才集聚的校友联合会、联谊会、回国服务联盟合作。对海外归国人员、外国专家来湘创办企业给予创业担保贷款支持和孵化服务。（省委组织部、省人力资源社会保障厅、省科技厅、省委外事工作委员会办公室、省科技厅、省财政厅、省税务局、省地方金融监管局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三）增强创新型企业引领带动作用。在重点领域和关键环节布局建设一批创新平台。支持百家龙头企业成为全球领军型企业，大力培育独角兽企业和瞪羚企业。实施科技型中小企业倍增计划。加快产业技术创新战略联盟发展。鼓励大中型企业开展内部创业，鼓励有条件的企业依法合规发起或参与设立公益性创业基金，鼓励企业参股、投资内部创业项目。鼓励国有企业探索以子公司等形式设立创新创业平台，促进混合所有制改革与创新创业深度融合。（省科技厅、省工业和信息化厅、省发展改革委、省国资委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四）推动高校科研院所创新创业深度融合。实行科研基础设施和科研仪器向社会开放共享双向补贴。加大”双一流”建设支持力度，鼓励高校深度融入企业创新，建设产学研协同创新中心。鼓励高校和科研院所与规模以上企业组建新型研发机构。（省科技厅、省工业和信息化厅、省财政厅、省教育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lastRenderedPageBreak/>
        <w:t xml:space="preserve">　　（十五）大力推动工业互联网创新发展。支持行业龙头企业和大型制造企业搭建企业级工业互联网平台。培育和发展行业性、区域性工业互联网平台，建立制造资源在线化、产能柔性化、产业链协同化的“智慧产业集群”和“智慧园区”，打造工业互联网示范基地。支持上年度主营业务收入1000万元以上的制造业企业核心业务系统“上云上平台”，运用工业互联网新技术新模式实施数字化网络化智能化升级。（省工业和信息化厅等按职责分工负责）</w:t>
      </w:r>
    </w:p>
    <w:p w:rsidR="00DB5169" w:rsidRPr="00DB5169" w:rsidRDefault="00DB5169" w:rsidP="00C268F9">
      <w:pPr>
        <w:widowControl/>
        <w:shd w:val="clear" w:color="auto" w:fill="FFFFFF"/>
        <w:spacing w:beforeLines="50" w:before="156" w:afterLines="50" w:after="156"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w:t>
      </w:r>
      <w:r w:rsidRPr="00DB5169">
        <w:rPr>
          <w:rFonts w:ascii="宋体" w:eastAsia="宋体" w:hAnsi="宋体" w:cs="宋体" w:hint="eastAsia"/>
          <w:b/>
          <w:bCs/>
          <w:color w:val="000000"/>
          <w:kern w:val="0"/>
          <w:sz w:val="24"/>
          <w:szCs w:val="24"/>
        </w:rPr>
        <w:t>四、推进创新创业载体升级</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六）提升孵化机构和众创空间服务水平。完善科技创业孵化链条建设，围绕区域产业特色构建形成覆盖科技创新企业成长各阶段的孵化载体。大力发展专业化众创空间、科技企业孵化器、创客协会等创客组织，推动创业服务中心、生产力促进中心、大学科技园、创业孵化基地、中小企业创业基地等提质升级。鼓励高校院所、农业科技园区、科技型农业企业、农民专业合作社等建设星创天地。（省科技厅、省农业农村厅、省人力资源社会保障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七）打造创新创业重点展示品牌。办好全国大众创业万众创新活动周湖南分会场活动。加强湖南省创新创业大赛、湖南省创新挑战赛等品牌建设。鼓励开展“互联网+”大学生创新创业大赛、创新论坛、创业讲坛、创业培训、创业沙龙、成果对接会、投融资路演会等多种形式的创新创业服务活动。（省发展改革委、省科技厅、省教育厅、省人力资源社会保障厅、省民政厅、省科协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八）打造具有全球影响力的创新高地。打造“两山”特色创新高地，以岳麓山国家大学科技城和马栏山视频文创产业园为核心，构建岳麓山国家大学科技城—湘江西岸创新带和马栏山视频文创产业园—湘江东岸创意带。争取创建岳麓山国家实验室。以长沙“科创谷”、株洲“动力谷”、湘潭“智造谷”建设为引领，打造长株潭自主创新核心增长极。争取创建长株潭城市群数字经济示范区。推动长沙、株洲、衡阳三市加快建成国家创新型城市，支持有条件的市州争创国</w:t>
      </w:r>
      <w:r w:rsidRPr="00DB5169">
        <w:rPr>
          <w:rFonts w:ascii="宋体" w:eastAsia="宋体" w:hAnsi="宋体" w:cs="宋体" w:hint="eastAsia"/>
          <w:color w:val="000000"/>
          <w:kern w:val="0"/>
          <w:sz w:val="24"/>
          <w:szCs w:val="24"/>
        </w:rPr>
        <w:lastRenderedPageBreak/>
        <w:t>家创新型试点城市，对已承担创新型城市建设任务和申报开展创新型城市建设的，省级财政科技投入进行配套支持或补助。完善科技园区管理机制，支持各类产业园区创建省级高新区，构建创新驱动绩效考评体系。（省科技厅、省教育厅、省发展改革委、省工业和信息化厅、省委网信办、省委宣传部、省广播电视局、长沙市人民政府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十九）加快建设“双创”示范基地。积极支持有条件的区域、高校和科研院所、企业争创国家级“双创”示范基地。支持湘江新区、湘潭高新区等“双创”示范基地加速集聚资本、人才、技术、政策等优势资源。支持中南大学“双创”示范基地加速转移转化科技成果，将人才优势和科研优势转化为产业优势。支持三一重工“双创”示范基地开展科技创新和机制创新，不断激发创新创造活力。进一步提升省级“双创”示范基地在研发孵化平台搭建、科技金融服务、人才培养、知识产权保护、技术交易等方面的支撑能力。（省发展改革委、各市州人民政府按职责分工负责）</w:t>
      </w:r>
    </w:p>
    <w:p w:rsidR="00DB5169" w:rsidRPr="00DB5169" w:rsidRDefault="00DB5169" w:rsidP="00C268F9">
      <w:pPr>
        <w:widowControl/>
        <w:shd w:val="clear" w:color="auto" w:fill="FFFFFF"/>
        <w:spacing w:beforeLines="50" w:before="156" w:afterLines="50" w:after="156" w:line="540" w:lineRule="atLeast"/>
        <w:jc w:val="left"/>
        <w:rPr>
          <w:rFonts w:ascii="宋体" w:eastAsia="宋体" w:hAnsi="宋体" w:cs="宋体"/>
          <w:b/>
          <w:bCs/>
          <w:color w:val="000000"/>
          <w:kern w:val="0"/>
          <w:sz w:val="24"/>
          <w:szCs w:val="24"/>
        </w:rPr>
      </w:pPr>
      <w:r w:rsidRPr="00DB5169">
        <w:rPr>
          <w:rFonts w:ascii="宋体" w:eastAsia="宋体" w:hAnsi="宋体" w:cs="宋体" w:hint="eastAsia"/>
          <w:b/>
          <w:bCs/>
          <w:color w:val="000000"/>
          <w:kern w:val="0"/>
          <w:sz w:val="24"/>
          <w:szCs w:val="24"/>
        </w:rPr>
        <w:t xml:space="preserve">　　五、加快创新创业金融服务升级</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二十）引导金融机构有效服务创新创业融资需求。促进科技金融专营组织机构创新发展，鼓励银行设立科技支行。支持发行双创金融债、双创债券和科技型企业债务融资工具。争取投贷联动试点，探索科技型企业“投、贷、债、保”联动机制。（省地方金融监管局、人民银行长沙中心支行、湖南银保监局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二十一）促进创业投资快速发展。支持省新兴产业投资基金设立侧重投资科技创新型企业、高新技术领域项目的子基金。鼓励省、市、产业园区引导基金联动。鼓励发展天使投资基金，支持成立天使投资人联盟，引导各类资本积极投资初创期科技创新型企业。（省地方金融监管局、省科技厅、省财政厅、省发展改革委、省工业和信息化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lastRenderedPageBreak/>
        <w:t xml:space="preserve">　　（二十二）拓宽创新创业直接融资渠道。强化科创板、创业板、新三板、区域性股权市场等多层次资本市场对创新创业的支持。支持省股权交易所、省技术产权交易所开设“科技创新专板”，为非上市科技企业提供产（股）权登记、托管、评估和交易、融资等服务。（省地方金融监管局、人民银行长沙中心支行、湖南证监局、省科技厅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二十三）完善差异化金融支持政策。支持保险机构针对科技财产、产品研发、专利侵权等创新科技保险产品。适时启动省科技贷款和创业投资风险补偿，推动市州、高新区建立科技贷款和创业投资风险补偿机制。（省地方金融监管局、省科技厅、省财政厅、人民银行长沙中心支行、湖南银保监局、省发展改革委、省工业和信息化厅等按职责分工负责）</w:t>
      </w:r>
    </w:p>
    <w:p w:rsidR="00DB5169" w:rsidRPr="00DB5169" w:rsidRDefault="00DB5169" w:rsidP="00C268F9">
      <w:pPr>
        <w:widowControl/>
        <w:shd w:val="clear" w:color="auto" w:fill="FFFFFF"/>
        <w:spacing w:beforeLines="50" w:before="156" w:afterLines="50" w:after="156" w:line="540" w:lineRule="atLeast"/>
        <w:jc w:val="left"/>
        <w:rPr>
          <w:rFonts w:ascii="宋体" w:eastAsia="宋体" w:hAnsi="宋体" w:cs="宋体"/>
          <w:b/>
          <w:bCs/>
          <w:color w:val="000000"/>
          <w:kern w:val="0"/>
          <w:sz w:val="24"/>
          <w:szCs w:val="24"/>
        </w:rPr>
      </w:pPr>
      <w:r w:rsidRPr="00DB5169">
        <w:rPr>
          <w:rFonts w:ascii="宋体" w:eastAsia="宋体" w:hAnsi="宋体" w:cs="宋体" w:hint="eastAsia"/>
          <w:b/>
          <w:bCs/>
          <w:color w:val="000000"/>
          <w:kern w:val="0"/>
          <w:sz w:val="24"/>
          <w:szCs w:val="24"/>
        </w:rPr>
        <w:t xml:space="preserve">　　六、打通政策落实“最后一公里”</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二十四）加强工作统筹。发挥省推进大众创业万众创新联席会议统筹作用，建立部门之间、部门与各地之间高效协同机制。建立容错免责机制，鼓励地方大胆探索。根据国家“双创”发展统计指标体系，做好全省创新创业统计监测工作。（省发展改革委、省统计局等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二十五）推动政策落实。定期开展“双创”示范基地评估，根据评估结果进行动态调整。开展创新创业痛点堵点疏解行动，梳理制约创新创业的痛点堵点问题，督促限期解决。加强政策解读、宣传和经验推广，营造良好舆论氛围和社会环境。（省推进大众创业万众创新联席会议成员单位按职责分工负责）</w:t>
      </w:r>
    </w:p>
    <w:p w:rsidR="00DB5169" w:rsidRPr="00DB5169" w:rsidRDefault="00DB5169" w:rsidP="0066674A">
      <w:pPr>
        <w:widowControl/>
        <w:shd w:val="clear" w:color="auto" w:fill="FFFFFF"/>
        <w:spacing w:line="540" w:lineRule="atLeast"/>
        <w:jc w:val="lef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本实施意见自公布之日起施行。</w:t>
      </w:r>
    </w:p>
    <w:p w:rsidR="00DB5169" w:rsidRPr="00DB5169" w:rsidRDefault="00DB5169" w:rsidP="0066674A">
      <w:pPr>
        <w:widowControl/>
        <w:shd w:val="clear" w:color="auto" w:fill="FFFFFF"/>
        <w:spacing w:line="540" w:lineRule="atLeast"/>
        <w:jc w:val="righ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湖南省人民政府</w:t>
      </w:r>
    </w:p>
    <w:p w:rsidR="00DB5169" w:rsidRPr="00DB5169" w:rsidRDefault="00DB5169" w:rsidP="0066674A">
      <w:pPr>
        <w:widowControl/>
        <w:shd w:val="clear" w:color="auto" w:fill="FFFFFF"/>
        <w:spacing w:line="540" w:lineRule="atLeast"/>
        <w:jc w:val="right"/>
        <w:rPr>
          <w:rFonts w:ascii="宋体" w:eastAsia="宋体" w:hAnsi="宋体" w:cs="宋体"/>
          <w:color w:val="000000"/>
          <w:kern w:val="0"/>
          <w:sz w:val="24"/>
          <w:szCs w:val="24"/>
        </w:rPr>
      </w:pPr>
      <w:r w:rsidRPr="00DB5169">
        <w:rPr>
          <w:rFonts w:ascii="宋体" w:eastAsia="宋体" w:hAnsi="宋体" w:cs="宋体" w:hint="eastAsia"/>
          <w:color w:val="000000"/>
          <w:kern w:val="0"/>
          <w:sz w:val="24"/>
          <w:szCs w:val="24"/>
        </w:rPr>
        <w:t xml:space="preserve">　　2019年8月13日</w:t>
      </w:r>
    </w:p>
    <w:p w:rsidR="00855193" w:rsidRDefault="00C268F9" w:rsidP="0066674A"/>
    <w:sectPr w:rsidR="00855193" w:rsidSect="00977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4C4"/>
    <w:multiLevelType w:val="multilevel"/>
    <w:tmpl w:val="968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577F6"/>
    <w:multiLevelType w:val="multilevel"/>
    <w:tmpl w:val="2DE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E569A"/>
    <w:multiLevelType w:val="multilevel"/>
    <w:tmpl w:val="4B5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69"/>
    <w:rsid w:val="0066674A"/>
    <w:rsid w:val="007E38B2"/>
    <w:rsid w:val="00977F0E"/>
    <w:rsid w:val="00C268F9"/>
    <w:rsid w:val="00DB5169"/>
    <w:rsid w:val="00E7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js-control-text2">
    <w:name w:val="vjs-control-text2"/>
    <w:basedOn w:val="a0"/>
    <w:rsid w:val="00DB5169"/>
  </w:style>
  <w:style w:type="character" w:styleId="a3">
    <w:name w:val="Strong"/>
    <w:basedOn w:val="a0"/>
    <w:uiPriority w:val="22"/>
    <w:qFormat/>
    <w:rsid w:val="00DB51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js-control-text2">
    <w:name w:val="vjs-control-text2"/>
    <w:basedOn w:val="a0"/>
    <w:rsid w:val="00DB5169"/>
  </w:style>
  <w:style w:type="character" w:styleId="a3">
    <w:name w:val="Strong"/>
    <w:basedOn w:val="a0"/>
    <w:uiPriority w:val="22"/>
    <w:qFormat/>
    <w:rsid w:val="00DB5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82888">
      <w:bodyDiv w:val="1"/>
      <w:marLeft w:val="0"/>
      <w:marRight w:val="0"/>
      <w:marTop w:val="0"/>
      <w:marBottom w:val="0"/>
      <w:divBdr>
        <w:top w:val="none" w:sz="0" w:space="0" w:color="auto"/>
        <w:left w:val="none" w:sz="0" w:space="0" w:color="auto"/>
        <w:bottom w:val="none" w:sz="0" w:space="0" w:color="auto"/>
        <w:right w:val="none" w:sz="0" w:space="0" w:color="auto"/>
      </w:divBdr>
      <w:divsChild>
        <w:div w:id="1365523925">
          <w:marLeft w:val="0"/>
          <w:marRight w:val="0"/>
          <w:marTop w:val="0"/>
          <w:marBottom w:val="0"/>
          <w:divBdr>
            <w:top w:val="none" w:sz="0" w:space="0" w:color="auto"/>
            <w:left w:val="none" w:sz="0" w:space="0" w:color="auto"/>
            <w:bottom w:val="none" w:sz="0" w:space="0" w:color="auto"/>
            <w:right w:val="none" w:sz="0" w:space="0" w:color="auto"/>
          </w:divBdr>
          <w:divsChild>
            <w:div w:id="127404405">
              <w:marLeft w:val="0"/>
              <w:marRight w:val="0"/>
              <w:marTop w:val="0"/>
              <w:marBottom w:val="0"/>
              <w:divBdr>
                <w:top w:val="none" w:sz="0" w:space="0" w:color="auto"/>
                <w:left w:val="none" w:sz="0" w:space="0" w:color="auto"/>
                <w:bottom w:val="none" w:sz="0" w:space="0" w:color="auto"/>
                <w:right w:val="none" w:sz="0" w:space="0" w:color="auto"/>
              </w:divBdr>
              <w:divsChild>
                <w:div w:id="336277647">
                  <w:marLeft w:val="1800"/>
                  <w:marRight w:val="0"/>
                  <w:marTop w:val="0"/>
                  <w:marBottom w:val="0"/>
                  <w:divBdr>
                    <w:top w:val="none" w:sz="0" w:space="0" w:color="auto"/>
                    <w:left w:val="none" w:sz="0" w:space="0" w:color="auto"/>
                    <w:bottom w:val="none" w:sz="0" w:space="0" w:color="auto"/>
                    <w:right w:val="none" w:sz="0" w:space="0" w:color="auto"/>
                  </w:divBdr>
                  <w:divsChild>
                    <w:div w:id="317151629">
                      <w:marLeft w:val="0"/>
                      <w:marRight w:val="0"/>
                      <w:marTop w:val="0"/>
                      <w:marBottom w:val="0"/>
                      <w:divBdr>
                        <w:top w:val="none" w:sz="0" w:space="0" w:color="auto"/>
                        <w:left w:val="none" w:sz="0" w:space="0" w:color="auto"/>
                        <w:bottom w:val="none" w:sz="0" w:space="0" w:color="auto"/>
                        <w:right w:val="none" w:sz="0" w:space="0" w:color="auto"/>
                      </w:divBdr>
                      <w:divsChild>
                        <w:div w:id="1029648218">
                          <w:marLeft w:val="0"/>
                          <w:marRight w:val="0"/>
                          <w:marTop w:val="0"/>
                          <w:marBottom w:val="0"/>
                          <w:divBdr>
                            <w:top w:val="none" w:sz="0" w:space="0" w:color="auto"/>
                            <w:left w:val="none" w:sz="0" w:space="0" w:color="auto"/>
                            <w:bottom w:val="none" w:sz="0" w:space="0" w:color="auto"/>
                            <w:right w:val="none" w:sz="0" w:space="0" w:color="auto"/>
                          </w:divBdr>
                          <w:divsChild>
                            <w:div w:id="522790586">
                              <w:marLeft w:val="0"/>
                              <w:marRight w:val="0"/>
                              <w:marTop w:val="0"/>
                              <w:marBottom w:val="0"/>
                              <w:divBdr>
                                <w:top w:val="none" w:sz="0" w:space="0" w:color="auto"/>
                                <w:left w:val="none" w:sz="0" w:space="0" w:color="auto"/>
                                <w:bottom w:val="none" w:sz="0" w:space="0" w:color="auto"/>
                                <w:right w:val="none" w:sz="0" w:space="0" w:color="auto"/>
                              </w:divBdr>
                              <w:divsChild>
                                <w:div w:id="2079016869">
                                  <w:marLeft w:val="0"/>
                                  <w:marRight w:val="0"/>
                                  <w:marTop w:val="0"/>
                                  <w:marBottom w:val="0"/>
                                  <w:divBdr>
                                    <w:top w:val="none" w:sz="0" w:space="0" w:color="auto"/>
                                    <w:left w:val="none" w:sz="0" w:space="0" w:color="auto"/>
                                    <w:bottom w:val="none" w:sz="0" w:space="0" w:color="auto"/>
                                    <w:right w:val="none" w:sz="0" w:space="0" w:color="auto"/>
                                  </w:divBdr>
                                </w:div>
                              </w:divsChild>
                            </w:div>
                            <w:div w:id="120850077">
                              <w:marLeft w:val="0"/>
                              <w:marRight w:val="0"/>
                              <w:marTop w:val="0"/>
                              <w:marBottom w:val="0"/>
                              <w:divBdr>
                                <w:top w:val="none" w:sz="0" w:space="0" w:color="auto"/>
                                <w:left w:val="none" w:sz="0" w:space="0" w:color="auto"/>
                                <w:bottom w:val="none" w:sz="0" w:space="0" w:color="auto"/>
                                <w:right w:val="none" w:sz="0" w:space="0" w:color="auto"/>
                              </w:divBdr>
                              <w:divsChild>
                                <w:div w:id="986739987">
                                  <w:marLeft w:val="0"/>
                                  <w:marRight w:val="0"/>
                                  <w:marTop w:val="0"/>
                                  <w:marBottom w:val="0"/>
                                  <w:divBdr>
                                    <w:top w:val="none" w:sz="0" w:space="0" w:color="auto"/>
                                    <w:left w:val="none" w:sz="0" w:space="0" w:color="auto"/>
                                    <w:bottom w:val="none" w:sz="0" w:space="0" w:color="auto"/>
                                    <w:right w:val="none" w:sz="0" w:space="0" w:color="auto"/>
                                  </w:divBdr>
                                </w:div>
                              </w:divsChild>
                            </w:div>
                            <w:div w:id="1876655333">
                              <w:marLeft w:val="0"/>
                              <w:marRight w:val="0"/>
                              <w:marTop w:val="0"/>
                              <w:marBottom w:val="0"/>
                              <w:divBdr>
                                <w:top w:val="none" w:sz="0" w:space="0" w:color="auto"/>
                                <w:left w:val="none" w:sz="0" w:space="0" w:color="auto"/>
                                <w:bottom w:val="none" w:sz="0" w:space="0" w:color="auto"/>
                                <w:right w:val="none" w:sz="0" w:space="0" w:color="auto"/>
                              </w:divBdr>
                              <w:divsChild>
                                <w:div w:id="885412375">
                                  <w:marLeft w:val="0"/>
                                  <w:marRight w:val="0"/>
                                  <w:marTop w:val="0"/>
                                  <w:marBottom w:val="0"/>
                                  <w:divBdr>
                                    <w:top w:val="none" w:sz="0" w:space="0" w:color="auto"/>
                                    <w:left w:val="none" w:sz="0" w:space="0" w:color="auto"/>
                                    <w:bottom w:val="none" w:sz="0" w:space="0" w:color="auto"/>
                                    <w:right w:val="none" w:sz="0" w:space="0" w:color="auto"/>
                                  </w:divBdr>
                                </w:div>
                              </w:divsChild>
                            </w:div>
                            <w:div w:id="157771762">
                              <w:marLeft w:val="0"/>
                              <w:marRight w:val="0"/>
                              <w:marTop w:val="0"/>
                              <w:marBottom w:val="0"/>
                              <w:divBdr>
                                <w:top w:val="none" w:sz="0" w:space="0" w:color="auto"/>
                                <w:left w:val="none" w:sz="0" w:space="0" w:color="auto"/>
                                <w:bottom w:val="none" w:sz="0" w:space="0" w:color="auto"/>
                                <w:right w:val="none" w:sz="0" w:space="0" w:color="auto"/>
                              </w:divBdr>
                              <w:divsChild>
                                <w:div w:id="15234480">
                                  <w:marLeft w:val="0"/>
                                  <w:marRight w:val="0"/>
                                  <w:marTop w:val="0"/>
                                  <w:marBottom w:val="0"/>
                                  <w:divBdr>
                                    <w:top w:val="none" w:sz="0" w:space="0" w:color="auto"/>
                                    <w:left w:val="none" w:sz="0" w:space="0" w:color="auto"/>
                                    <w:bottom w:val="none" w:sz="0" w:space="0" w:color="auto"/>
                                    <w:right w:val="none" w:sz="0" w:space="0" w:color="auto"/>
                                  </w:divBdr>
                                </w:div>
                              </w:divsChild>
                            </w:div>
                            <w:div w:id="510149787">
                              <w:marLeft w:val="0"/>
                              <w:marRight w:val="0"/>
                              <w:marTop w:val="0"/>
                              <w:marBottom w:val="0"/>
                              <w:divBdr>
                                <w:top w:val="none" w:sz="0" w:space="0" w:color="auto"/>
                                <w:left w:val="none" w:sz="0" w:space="0" w:color="auto"/>
                                <w:bottom w:val="none" w:sz="0" w:space="0" w:color="auto"/>
                                <w:right w:val="none" w:sz="0" w:space="0" w:color="auto"/>
                              </w:divBdr>
                              <w:divsChild>
                                <w:div w:id="1635870001">
                                  <w:marLeft w:val="0"/>
                                  <w:marRight w:val="0"/>
                                  <w:marTop w:val="0"/>
                                  <w:marBottom w:val="0"/>
                                  <w:divBdr>
                                    <w:top w:val="none" w:sz="0" w:space="0" w:color="auto"/>
                                    <w:left w:val="none" w:sz="0" w:space="0" w:color="auto"/>
                                    <w:bottom w:val="none" w:sz="0" w:space="0" w:color="auto"/>
                                    <w:right w:val="none" w:sz="0" w:space="0" w:color="auto"/>
                                  </w:divBdr>
                                </w:div>
                              </w:divsChild>
                            </w:div>
                            <w:div w:id="1824394269">
                              <w:marLeft w:val="0"/>
                              <w:marRight w:val="0"/>
                              <w:marTop w:val="0"/>
                              <w:marBottom w:val="0"/>
                              <w:divBdr>
                                <w:top w:val="none" w:sz="0" w:space="0" w:color="auto"/>
                                <w:left w:val="none" w:sz="0" w:space="0" w:color="auto"/>
                                <w:bottom w:val="none" w:sz="0" w:space="0" w:color="auto"/>
                                <w:right w:val="none" w:sz="0" w:space="0" w:color="auto"/>
                              </w:divBdr>
                              <w:divsChild>
                                <w:div w:id="135076492">
                                  <w:marLeft w:val="0"/>
                                  <w:marRight w:val="0"/>
                                  <w:marTop w:val="0"/>
                                  <w:marBottom w:val="0"/>
                                  <w:divBdr>
                                    <w:top w:val="none" w:sz="0" w:space="0" w:color="auto"/>
                                    <w:left w:val="none" w:sz="0" w:space="0" w:color="auto"/>
                                    <w:bottom w:val="none" w:sz="0" w:space="0" w:color="auto"/>
                                    <w:right w:val="none" w:sz="0" w:space="0" w:color="auto"/>
                                  </w:divBdr>
                                </w:div>
                              </w:divsChild>
                            </w:div>
                            <w:div w:id="80957215">
                              <w:marLeft w:val="0"/>
                              <w:marRight w:val="0"/>
                              <w:marTop w:val="0"/>
                              <w:marBottom w:val="0"/>
                              <w:divBdr>
                                <w:top w:val="none" w:sz="0" w:space="0" w:color="auto"/>
                                <w:left w:val="none" w:sz="0" w:space="0" w:color="auto"/>
                                <w:bottom w:val="none" w:sz="0" w:space="0" w:color="auto"/>
                                <w:right w:val="none" w:sz="0" w:space="0" w:color="auto"/>
                              </w:divBdr>
                              <w:divsChild>
                                <w:div w:id="1515798329">
                                  <w:marLeft w:val="0"/>
                                  <w:marRight w:val="0"/>
                                  <w:marTop w:val="0"/>
                                  <w:marBottom w:val="0"/>
                                  <w:divBdr>
                                    <w:top w:val="none" w:sz="0" w:space="0" w:color="auto"/>
                                    <w:left w:val="none" w:sz="0" w:space="0" w:color="auto"/>
                                    <w:bottom w:val="none" w:sz="0" w:space="0" w:color="auto"/>
                                    <w:right w:val="none" w:sz="0" w:space="0" w:color="auto"/>
                                  </w:divBdr>
                                  <w:divsChild>
                                    <w:div w:id="1389301132">
                                      <w:marLeft w:val="0"/>
                                      <w:marRight w:val="0"/>
                                      <w:marTop w:val="0"/>
                                      <w:marBottom w:val="0"/>
                                      <w:divBdr>
                                        <w:top w:val="none" w:sz="0" w:space="0" w:color="auto"/>
                                        <w:left w:val="none" w:sz="0" w:space="0" w:color="auto"/>
                                        <w:bottom w:val="none" w:sz="0" w:space="0" w:color="auto"/>
                                        <w:right w:val="none" w:sz="0" w:space="0" w:color="auto"/>
                                      </w:divBdr>
                                    </w:div>
                                    <w:div w:id="1052734730">
                                      <w:marLeft w:val="0"/>
                                      <w:marRight w:val="0"/>
                                      <w:marTop w:val="0"/>
                                      <w:marBottom w:val="0"/>
                                      <w:divBdr>
                                        <w:top w:val="none" w:sz="0" w:space="0" w:color="auto"/>
                                        <w:left w:val="none" w:sz="0" w:space="0" w:color="auto"/>
                                        <w:bottom w:val="none" w:sz="0" w:space="0" w:color="auto"/>
                                        <w:right w:val="none" w:sz="0" w:space="0" w:color="auto"/>
                                      </w:divBdr>
                                    </w:div>
                                    <w:div w:id="8922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7360">
                              <w:marLeft w:val="0"/>
                              <w:marRight w:val="0"/>
                              <w:marTop w:val="0"/>
                              <w:marBottom w:val="0"/>
                              <w:divBdr>
                                <w:top w:val="none" w:sz="0" w:space="0" w:color="auto"/>
                                <w:left w:val="none" w:sz="0" w:space="0" w:color="auto"/>
                                <w:bottom w:val="none" w:sz="0" w:space="0" w:color="auto"/>
                                <w:right w:val="none" w:sz="0" w:space="0" w:color="auto"/>
                              </w:divBdr>
                              <w:divsChild>
                                <w:div w:id="1974214797">
                                  <w:marLeft w:val="0"/>
                                  <w:marRight w:val="0"/>
                                  <w:marTop w:val="0"/>
                                  <w:marBottom w:val="0"/>
                                  <w:divBdr>
                                    <w:top w:val="none" w:sz="0" w:space="0" w:color="auto"/>
                                    <w:left w:val="none" w:sz="0" w:space="0" w:color="auto"/>
                                    <w:bottom w:val="none" w:sz="0" w:space="0" w:color="auto"/>
                                    <w:right w:val="none" w:sz="0" w:space="0" w:color="auto"/>
                                  </w:divBdr>
                                </w:div>
                              </w:divsChild>
                            </w:div>
                            <w:div w:id="1879195805">
                              <w:marLeft w:val="0"/>
                              <w:marRight w:val="0"/>
                              <w:marTop w:val="0"/>
                              <w:marBottom w:val="0"/>
                              <w:divBdr>
                                <w:top w:val="none" w:sz="0" w:space="0" w:color="auto"/>
                                <w:left w:val="none" w:sz="0" w:space="0" w:color="auto"/>
                                <w:bottom w:val="none" w:sz="0" w:space="0" w:color="auto"/>
                                <w:right w:val="none" w:sz="0" w:space="0" w:color="auto"/>
                              </w:divBdr>
                              <w:divsChild>
                                <w:div w:id="908491619">
                                  <w:marLeft w:val="0"/>
                                  <w:marRight w:val="0"/>
                                  <w:marTop w:val="0"/>
                                  <w:marBottom w:val="0"/>
                                  <w:divBdr>
                                    <w:top w:val="none" w:sz="0" w:space="0" w:color="auto"/>
                                    <w:left w:val="none" w:sz="0" w:space="0" w:color="auto"/>
                                    <w:bottom w:val="none" w:sz="0" w:space="0" w:color="auto"/>
                                    <w:right w:val="none" w:sz="0" w:space="0" w:color="auto"/>
                                  </w:divBdr>
                                </w:div>
                              </w:divsChild>
                            </w:div>
                            <w:div w:id="609624269">
                              <w:marLeft w:val="0"/>
                              <w:marRight w:val="0"/>
                              <w:marTop w:val="0"/>
                              <w:marBottom w:val="0"/>
                              <w:divBdr>
                                <w:top w:val="none" w:sz="0" w:space="0" w:color="auto"/>
                                <w:left w:val="none" w:sz="0" w:space="0" w:color="auto"/>
                                <w:bottom w:val="none" w:sz="0" w:space="0" w:color="auto"/>
                                <w:right w:val="none" w:sz="0" w:space="0" w:color="auto"/>
                              </w:divBdr>
                              <w:divsChild>
                                <w:div w:id="1927107924">
                                  <w:marLeft w:val="0"/>
                                  <w:marRight w:val="0"/>
                                  <w:marTop w:val="0"/>
                                  <w:marBottom w:val="0"/>
                                  <w:divBdr>
                                    <w:top w:val="none" w:sz="0" w:space="0" w:color="auto"/>
                                    <w:left w:val="none" w:sz="0" w:space="0" w:color="auto"/>
                                    <w:bottom w:val="none" w:sz="0" w:space="0" w:color="auto"/>
                                    <w:right w:val="none" w:sz="0" w:space="0" w:color="auto"/>
                                  </w:divBdr>
                                </w:div>
                              </w:divsChild>
                            </w:div>
                            <w:div w:id="162596836">
                              <w:marLeft w:val="0"/>
                              <w:marRight w:val="0"/>
                              <w:marTop w:val="0"/>
                              <w:marBottom w:val="0"/>
                              <w:divBdr>
                                <w:top w:val="none" w:sz="0" w:space="0" w:color="auto"/>
                                <w:left w:val="none" w:sz="0" w:space="0" w:color="auto"/>
                                <w:bottom w:val="none" w:sz="0" w:space="0" w:color="auto"/>
                                <w:right w:val="none" w:sz="0" w:space="0" w:color="auto"/>
                              </w:divBdr>
                              <w:divsChild>
                                <w:div w:id="14670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5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800</Words>
  <Characters>4565</Characters>
  <Application>Microsoft Office Word</Application>
  <DocSecurity>0</DocSecurity>
  <Lines>38</Lines>
  <Paragraphs>10</Paragraphs>
  <ScaleCrop>false</ScaleCrop>
  <Company>China</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祝海波</dc:creator>
  <cp:lastModifiedBy>舒悦</cp:lastModifiedBy>
  <cp:revision>2</cp:revision>
  <dcterms:created xsi:type="dcterms:W3CDTF">2021-03-11T10:48:00Z</dcterms:created>
  <dcterms:modified xsi:type="dcterms:W3CDTF">2021-03-11T10:48:00Z</dcterms:modified>
</cp:coreProperties>
</file>